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6D" w:rsidRPr="0045029B" w:rsidRDefault="001A486D">
      <w:pPr>
        <w:rPr>
          <w:rFonts w:ascii="Calibri" w:hAnsi="Calibri" w:cs="Calibri"/>
          <w:i/>
        </w:rPr>
      </w:pPr>
    </w:p>
    <w:p w:rsidR="0045029B" w:rsidRPr="0045029B" w:rsidRDefault="0045029B" w:rsidP="0045029B">
      <w:pPr>
        <w:rPr>
          <w:rFonts w:ascii="Calibri" w:hAnsi="Calibri" w:cs="Calibri"/>
          <w:i/>
        </w:rPr>
      </w:pPr>
      <w:r w:rsidRPr="0045029B">
        <w:rPr>
          <w:rFonts w:ascii="Calibri" w:hAnsi="Calibri" w:cs="Calibri"/>
          <w:i/>
        </w:rPr>
        <w:t xml:space="preserve">You can use or adapt the model language in this template to draft a resolution by your AAUP chapter for </w:t>
      </w:r>
      <w:r>
        <w:rPr>
          <w:rFonts w:ascii="Calibri" w:hAnsi="Calibri" w:cs="Calibri"/>
          <w:i/>
        </w:rPr>
        <w:t>establishing clear limits to OPM contracts</w:t>
      </w:r>
      <w:r w:rsidRPr="0045029B">
        <w:rPr>
          <w:rFonts w:ascii="Calibri" w:hAnsi="Calibri" w:cs="Calibri"/>
          <w:i/>
        </w:rPr>
        <w:t>. Replace highlighted text in brackets with language appropriate for your institution and chapter. Substitute the logo in the header above with your own chapter logo.</w:t>
      </w:r>
    </w:p>
    <w:p w:rsidR="001A486D" w:rsidRPr="0045029B" w:rsidRDefault="001A486D" w:rsidP="0045029B">
      <w:pPr>
        <w:rPr>
          <w:rFonts w:ascii="Calibri" w:hAnsi="Calibri" w:cs="Calibri"/>
          <w:u w:val="single"/>
        </w:rPr>
      </w:pPr>
    </w:p>
    <w:p w:rsidR="001A486D" w:rsidRPr="0045029B" w:rsidRDefault="00233282">
      <w:pPr>
        <w:jc w:val="center"/>
        <w:rPr>
          <w:rFonts w:ascii="Calibri" w:hAnsi="Calibri" w:cs="Calibri"/>
          <w:u w:val="single"/>
        </w:rPr>
      </w:pPr>
      <w:r w:rsidRPr="0045029B">
        <w:rPr>
          <w:rFonts w:ascii="Calibri" w:hAnsi="Calibri" w:cs="Calibri"/>
          <w:u w:val="single"/>
        </w:rPr>
        <w:t xml:space="preserve">Resolution before the </w:t>
      </w:r>
      <w:r w:rsidRPr="0045029B">
        <w:rPr>
          <w:rFonts w:ascii="Calibri" w:hAnsi="Calibri" w:cs="Calibri"/>
          <w:highlight w:val="yellow"/>
          <w:u w:val="single"/>
        </w:rPr>
        <w:t xml:space="preserve">[AAUP chapter, department, </w:t>
      </w:r>
      <w:r w:rsidR="0045029B">
        <w:rPr>
          <w:rFonts w:ascii="Calibri" w:hAnsi="Calibri" w:cs="Calibri"/>
          <w:highlight w:val="yellow"/>
          <w:u w:val="single"/>
        </w:rPr>
        <w:t>institution</w:t>
      </w:r>
      <w:r w:rsidRPr="0045029B">
        <w:rPr>
          <w:rFonts w:ascii="Calibri" w:hAnsi="Calibri" w:cs="Calibri"/>
          <w:highlight w:val="yellow"/>
          <w:u w:val="single"/>
        </w:rPr>
        <w:t>, or senate]</w:t>
      </w:r>
    </w:p>
    <w:p w:rsidR="001A486D" w:rsidRPr="0045029B" w:rsidRDefault="0045029B">
      <w:pPr>
        <w:jc w:val="center"/>
        <w:rPr>
          <w:rFonts w:ascii="Calibri" w:hAnsi="Calibri" w:cs="Calibri"/>
        </w:rPr>
      </w:pPr>
      <w:r w:rsidRPr="0045029B">
        <w:rPr>
          <w:rFonts w:ascii="Calibri" w:hAnsi="Calibri" w:cs="Calibri"/>
          <w:highlight w:val="yellow"/>
        </w:rPr>
        <w:t>[</w:t>
      </w:r>
      <w:proofErr w:type="gramStart"/>
      <w:r w:rsidRPr="0045029B">
        <w:rPr>
          <w:rFonts w:ascii="Calibri" w:hAnsi="Calibri" w:cs="Calibri"/>
          <w:highlight w:val="yellow"/>
        </w:rPr>
        <w:t>d</w:t>
      </w:r>
      <w:r w:rsidR="00233282" w:rsidRPr="0045029B">
        <w:rPr>
          <w:rFonts w:ascii="Calibri" w:hAnsi="Calibri" w:cs="Calibri"/>
          <w:highlight w:val="yellow"/>
        </w:rPr>
        <w:t>ate</w:t>
      </w:r>
      <w:proofErr w:type="gramEnd"/>
      <w:r w:rsidR="00233282" w:rsidRPr="0045029B">
        <w:rPr>
          <w:rFonts w:ascii="Calibri" w:hAnsi="Calibri" w:cs="Calibri"/>
          <w:highlight w:val="yellow"/>
        </w:rPr>
        <w:t>]</w:t>
      </w:r>
      <w:r w:rsidR="00233282" w:rsidRPr="0045029B">
        <w:rPr>
          <w:rFonts w:ascii="Calibri" w:hAnsi="Calibri" w:cs="Calibri"/>
        </w:rPr>
        <w:t xml:space="preserve"> </w:t>
      </w:r>
    </w:p>
    <w:p w:rsidR="001A486D" w:rsidRPr="0045029B" w:rsidRDefault="001A486D">
      <w:pPr>
        <w:rPr>
          <w:rFonts w:ascii="Calibri" w:hAnsi="Calibri" w:cs="Calibri"/>
          <w:sz w:val="24"/>
          <w:szCs w:val="24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45029B">
        <w:rPr>
          <w:rFonts w:ascii="Calibri" w:hAnsi="Calibri" w:cs="Calibri"/>
        </w:rPr>
        <w:t xml:space="preserve"> faculty at </w:t>
      </w:r>
      <w:r w:rsidR="0045029B" w:rsidRPr="0045029B">
        <w:rPr>
          <w:rFonts w:ascii="Calibri" w:hAnsi="Calibri" w:cs="Calibri"/>
          <w:highlight w:val="yellow"/>
        </w:rPr>
        <w:t>[</w:t>
      </w:r>
      <w:r w:rsidR="00233282" w:rsidRPr="0045029B">
        <w:rPr>
          <w:rFonts w:ascii="Calibri" w:hAnsi="Calibri" w:cs="Calibri"/>
          <w:highlight w:val="yellow"/>
        </w:rPr>
        <w:t>the AAUP chapter, department, school, or senate]</w:t>
      </w:r>
      <w:r w:rsidR="00233282" w:rsidRPr="0045029B">
        <w:rPr>
          <w:rFonts w:ascii="Calibri" w:hAnsi="Calibri" w:cs="Calibri"/>
        </w:rPr>
        <w:t xml:space="preserve"> witness how online programs are being developed at more and more colleges and universities across the country to increase access to higher education but without a strong emphasis on q</w:t>
      </w:r>
      <w:r w:rsidR="00233282" w:rsidRPr="0045029B">
        <w:rPr>
          <w:rFonts w:ascii="Calibri" w:hAnsi="Calibri" w:cs="Calibri"/>
        </w:rPr>
        <w:t>uality;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these online programs are often born out of contracts with for-profit, third-party online program management companies, also known as OPMs; 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many OPM contracts involve the institution in purchasing costly bundled services instea</w:t>
      </w:r>
      <w:r w:rsidR="00233282" w:rsidRPr="0045029B">
        <w:rPr>
          <w:rFonts w:ascii="Calibri" w:hAnsi="Calibri" w:cs="Calibri"/>
        </w:rPr>
        <w:t xml:space="preserve">d of individual services purchased one at a time based on specific needs; 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institutions are increasingly entering into contracts with OPMs that are unnecessarily long and difficult to exit; 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many contracts require burdensome revenue sha</w:t>
      </w:r>
      <w:r w:rsidR="00233282" w:rsidRPr="0045029B">
        <w:rPr>
          <w:rFonts w:ascii="Calibri" w:hAnsi="Calibri" w:cs="Calibri"/>
        </w:rPr>
        <w:t xml:space="preserve">ring agreements in which anywhere from 35% to 80% of student tuition from the online program is collected by the for-profit OPM instead of reinvested in the institution, faculty, students, and staff; 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contracts often involve aggressive marketing </w:t>
      </w:r>
      <w:r w:rsidR="00233282" w:rsidRPr="0045029B">
        <w:rPr>
          <w:rFonts w:ascii="Calibri" w:hAnsi="Calibri" w:cs="Calibri"/>
        </w:rPr>
        <w:t>to students and place control over recruiting, admissions, enrollment</w:t>
      </w:r>
      <w:r w:rsidR="00233282">
        <w:rPr>
          <w:rFonts w:ascii="Calibri" w:hAnsi="Calibri" w:cs="Calibri"/>
        </w:rPr>
        <w:t xml:space="preserve"> decisions and student data in</w:t>
      </w:r>
      <w:r w:rsidR="00233282" w:rsidRPr="0045029B">
        <w:rPr>
          <w:rFonts w:ascii="Calibri" w:hAnsi="Calibri" w:cs="Calibri"/>
        </w:rPr>
        <w:t xml:space="preserve"> the hands of a for-profit company, not the higher education institution; </w:t>
      </w:r>
    </w:p>
    <w:p w:rsidR="001A486D" w:rsidRPr="0045029B" w:rsidRDefault="001A486D">
      <w:pPr>
        <w:rPr>
          <w:rFonts w:ascii="Calibri" w:hAnsi="Calibri" w:cs="Calibri"/>
        </w:rPr>
      </w:pPr>
      <w:bookmarkStart w:id="0" w:name="_GoBack"/>
      <w:bookmarkEnd w:id="0"/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contracts often delegate decision making about the core academic funct</w:t>
      </w:r>
      <w:r w:rsidR="00233282" w:rsidRPr="0045029B">
        <w:rPr>
          <w:rFonts w:ascii="Calibri" w:hAnsi="Calibri" w:cs="Calibri"/>
        </w:rPr>
        <w:t xml:space="preserve">ions of the program to OPM staff instead of faculty; 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</w:rPr>
        <w:t>Whereas</w:t>
      </w:r>
      <w:r w:rsidR="00233282" w:rsidRPr="0045029B">
        <w:rPr>
          <w:rFonts w:ascii="Calibri" w:hAnsi="Calibri" w:cs="Calibri"/>
        </w:rPr>
        <w:t xml:space="preserve"> this trend is unsustainable for a higher education system that sees education as a public good, not a commodity; </w:t>
      </w:r>
      <w:r w:rsidRPr="00341BD6">
        <w:rPr>
          <w:rFonts w:ascii="Calibri" w:hAnsi="Calibri" w:cs="Calibri"/>
        </w:rPr>
        <w:t>now, therefore, be it</w:t>
      </w:r>
    </w:p>
    <w:p w:rsidR="001A486D" w:rsidRPr="0045029B" w:rsidRDefault="001A486D">
      <w:pPr>
        <w:rPr>
          <w:rFonts w:ascii="Calibri" w:hAnsi="Calibri" w:cs="Calibri"/>
        </w:rPr>
      </w:pPr>
    </w:p>
    <w:p w:rsidR="001A486D" w:rsidRPr="0045029B" w:rsidRDefault="00341BD6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Resolved, </w:t>
      </w:r>
      <w:r w:rsidRPr="00341BD6">
        <w:rPr>
          <w:rFonts w:ascii="Calibri" w:hAnsi="Calibri" w:cs="Calibri"/>
        </w:rPr>
        <w:t>that</w:t>
      </w:r>
      <w:r>
        <w:rPr>
          <w:rFonts w:ascii="Calibri" w:hAnsi="Calibri" w:cs="Calibri"/>
        </w:rPr>
        <w:t xml:space="preserve"> </w:t>
      </w:r>
      <w:r w:rsidR="00233282" w:rsidRPr="0045029B">
        <w:rPr>
          <w:rFonts w:ascii="Calibri" w:hAnsi="Calibri" w:cs="Calibri"/>
        </w:rPr>
        <w:t xml:space="preserve">faculty </w:t>
      </w:r>
      <w:r w:rsidR="00233282" w:rsidRPr="00341BD6">
        <w:rPr>
          <w:rFonts w:ascii="Calibri" w:hAnsi="Calibri" w:cs="Calibri"/>
          <w:highlight w:val="yellow"/>
        </w:rPr>
        <w:t>[of the AAUP chapter, department, school, or sen</w:t>
      </w:r>
      <w:r w:rsidR="00233282" w:rsidRPr="00341BD6">
        <w:rPr>
          <w:rFonts w:ascii="Calibri" w:hAnsi="Calibri" w:cs="Calibri"/>
          <w:highlight w:val="yellow"/>
        </w:rPr>
        <w:t>ate]</w:t>
      </w:r>
      <w:r w:rsidR="00233282" w:rsidRPr="0045029B">
        <w:rPr>
          <w:rFonts w:ascii="Calibri" w:hAnsi="Calibri" w:cs="Calibri"/>
        </w:rPr>
        <w:t xml:space="preserve"> reject all current and future proposals for </w:t>
      </w:r>
      <w:r w:rsidR="00233282" w:rsidRPr="00D74D8E">
        <w:rPr>
          <w:rFonts w:ascii="Calibri" w:hAnsi="Calibri" w:cs="Calibri"/>
          <w:highlight w:val="yellow"/>
        </w:rPr>
        <w:t>[degree programs]</w:t>
      </w:r>
      <w:r w:rsidR="00233282" w:rsidRPr="0045029B">
        <w:rPr>
          <w:rFonts w:ascii="Calibri" w:hAnsi="Calibri" w:cs="Calibri"/>
        </w:rPr>
        <w:t xml:space="preserve"> managed under the </w:t>
      </w:r>
      <w:r w:rsidR="00233282" w:rsidRPr="00D74D8E">
        <w:rPr>
          <w:rFonts w:ascii="Calibri" w:hAnsi="Calibri" w:cs="Calibri"/>
          <w:highlight w:val="yellow"/>
        </w:rPr>
        <w:t>[OPM]</w:t>
      </w:r>
      <w:r w:rsidR="00233282" w:rsidRPr="0045029B">
        <w:rPr>
          <w:rFonts w:ascii="Calibri" w:hAnsi="Calibri" w:cs="Calibri"/>
        </w:rPr>
        <w:t xml:space="preserve"> that involve: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r w:rsidRPr="0045029B">
        <w:rPr>
          <w:rFonts w:ascii="Calibri" w:hAnsi="Calibri" w:cs="Calibri"/>
        </w:rPr>
        <w:t>bundling services;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r w:rsidRPr="0045029B">
        <w:rPr>
          <w:rFonts w:ascii="Calibri" w:hAnsi="Calibri" w:cs="Calibri"/>
        </w:rPr>
        <w:t xml:space="preserve">requiring long-term contracts that are costly to exit;  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r w:rsidRPr="0045029B">
        <w:rPr>
          <w:rFonts w:ascii="Calibri" w:hAnsi="Calibri" w:cs="Calibri"/>
        </w:rPr>
        <w:t>tuition-sharing agreements;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r w:rsidRPr="0045029B">
        <w:rPr>
          <w:rFonts w:ascii="Calibri" w:hAnsi="Calibri" w:cs="Calibri"/>
        </w:rPr>
        <w:t>aggressive marketing and student recruitment pr</w:t>
      </w:r>
      <w:r w:rsidRPr="0045029B">
        <w:rPr>
          <w:rFonts w:ascii="Calibri" w:hAnsi="Calibri" w:cs="Calibri"/>
        </w:rPr>
        <w:t>actices;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r w:rsidRPr="0045029B">
        <w:rPr>
          <w:rFonts w:ascii="Calibri" w:hAnsi="Calibri" w:cs="Calibri"/>
        </w:rPr>
        <w:t>OPM control over admissions, enrollment decisions, and student data; or</w:t>
      </w:r>
    </w:p>
    <w:p w:rsidR="001A486D" w:rsidRPr="0045029B" w:rsidRDefault="00233282">
      <w:pPr>
        <w:numPr>
          <w:ilvl w:val="1"/>
          <w:numId w:val="1"/>
        </w:numPr>
        <w:rPr>
          <w:rFonts w:ascii="Calibri" w:hAnsi="Calibri" w:cs="Calibri"/>
        </w:rPr>
      </w:pPr>
      <w:proofErr w:type="gramStart"/>
      <w:r w:rsidRPr="0045029B">
        <w:rPr>
          <w:rFonts w:ascii="Calibri" w:hAnsi="Calibri" w:cs="Calibri"/>
        </w:rPr>
        <w:lastRenderedPageBreak/>
        <w:t>decisions</w:t>
      </w:r>
      <w:proofErr w:type="gramEnd"/>
      <w:r w:rsidRPr="0045029B">
        <w:rPr>
          <w:rFonts w:ascii="Calibri" w:hAnsi="Calibri" w:cs="Calibri"/>
        </w:rPr>
        <w:t xml:space="preserve"> about core academic functions not made by faculty.  </w:t>
      </w:r>
      <w:r w:rsidRPr="0045029B">
        <w:rPr>
          <w:rFonts w:ascii="Calibri" w:hAnsi="Calibri" w:cs="Calibri"/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3105150</wp:posOffset>
            </wp:positionH>
            <wp:positionV relativeFrom="paragraph">
              <wp:posOffset>6534150</wp:posOffset>
            </wp:positionV>
            <wp:extent cx="4017983" cy="15192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7983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A486D" w:rsidRPr="0045029B" w:rsidSect="0045029B">
      <w:headerReference w:type="default" r:id="rId8"/>
      <w:pgSz w:w="12240" w:h="15840"/>
      <w:pgMar w:top="1440" w:right="1440" w:bottom="1440" w:left="1440" w:header="14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3282">
      <w:pPr>
        <w:spacing w:line="240" w:lineRule="auto"/>
      </w:pPr>
      <w:r>
        <w:separator/>
      </w:r>
    </w:p>
  </w:endnote>
  <w:endnote w:type="continuationSeparator" w:id="0">
    <w:p w:rsidR="00000000" w:rsidRDefault="00233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3282">
      <w:pPr>
        <w:spacing w:line="240" w:lineRule="auto"/>
      </w:pPr>
      <w:r>
        <w:separator/>
      </w:r>
    </w:p>
  </w:footnote>
  <w:footnote w:type="continuationSeparator" w:id="0">
    <w:p w:rsidR="00000000" w:rsidRDefault="00233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6D" w:rsidRDefault="00233282">
    <w:pPr>
      <w:rPr>
        <w:i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1362075</wp:posOffset>
          </wp:positionH>
          <wp:positionV relativeFrom="paragraph">
            <wp:posOffset>-704850</wp:posOffset>
          </wp:positionV>
          <wp:extent cx="3270250" cy="1085850"/>
          <wp:effectExtent l="0" t="0" r="635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02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486D" w:rsidRDefault="00233282"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B9E"/>
    <w:multiLevelType w:val="multilevel"/>
    <w:tmpl w:val="56126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6D"/>
    <w:rsid w:val="001A486D"/>
    <w:rsid w:val="00233282"/>
    <w:rsid w:val="002F5DE8"/>
    <w:rsid w:val="00341BD6"/>
    <w:rsid w:val="003917FB"/>
    <w:rsid w:val="0045029B"/>
    <w:rsid w:val="00D74D8E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3E3BC-6DE4-490B-825C-E98CF94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502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9B"/>
  </w:style>
  <w:style w:type="paragraph" w:styleId="Footer">
    <w:name w:val="footer"/>
    <w:basedOn w:val="Normal"/>
    <w:link w:val="FooterChar"/>
    <w:uiPriority w:val="99"/>
    <w:unhideWhenUsed/>
    <w:rsid w:val="004502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9B"/>
  </w:style>
  <w:style w:type="paragraph" w:styleId="BalloonText">
    <w:name w:val="Balloon Text"/>
    <w:basedOn w:val="Normal"/>
    <w:link w:val="BalloonTextChar"/>
    <w:uiPriority w:val="99"/>
    <w:semiHidden/>
    <w:unhideWhenUsed/>
    <w:rsid w:val="00D74D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Hand</dc:creator>
  <cp:lastModifiedBy>Kelly Hand</cp:lastModifiedBy>
  <cp:revision>4</cp:revision>
  <cp:lastPrinted>2019-10-24T15:43:00Z</cp:lastPrinted>
  <dcterms:created xsi:type="dcterms:W3CDTF">2019-10-24T14:56:00Z</dcterms:created>
  <dcterms:modified xsi:type="dcterms:W3CDTF">2019-10-24T15:58:00Z</dcterms:modified>
</cp:coreProperties>
</file>